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2"/>
          <w:szCs w:val="4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2"/>
          <w:szCs w:val="42"/>
          <w:shd w:val="clear" w:fill="FFFFFF"/>
        </w:rPr>
        <w:t>财政部 税务总局关于支持小微企业融资有关税收政策的公告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财政部 税务总局公告2023年第13号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2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为继续加大对小微企业的支持力度，推动缓解融资难、融资贵问题，现将有关税收政策公告如下：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一、对金融机构向小型企业、微型企业及个体工商户发放小额贷款取得的利息收入，</w:t>
            </w:r>
            <w:r>
              <w:rPr>
                <w:color w:val="0000FF"/>
              </w:rPr>
              <w:t>免征增值税</w:t>
            </w:r>
            <w:r>
              <w:t>。金融机构应将相关免税证明材料留存备查，单独核算符合免税条件的小额贷款利息收入，按现行规定向主管税务机关办理纳税申报；未单独核算的，不得免征增值税。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二、对金融机构与小型企业、微型企业签订的借款合同</w:t>
            </w:r>
            <w:r>
              <w:rPr>
                <w:color w:val="0000FF"/>
              </w:rPr>
              <w:t>免征印花税</w:t>
            </w:r>
            <w:r>
              <w:t>。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三、本公告所称小型企业、微型企业，是指符合《中小企业划型标准规定》（工信部联企业〔2011〕300号）的小型企业和微型企业。其中，资产总额和从业人员指标均以贷款发放时的实际状态确定；营业收入指标以贷款发放前12个自然月的累计数确定，不满12个自然月的，按照以下公式计算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营业收入（年）=企业实际存续期间营业收入/企业实际存续月数×12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四、本公告所称小额贷款，是指单户授信小于100万元（含本数）的小型企业、微型企业或个体工商户贷款；没有授信额度的，是指单户贷款合同金额且贷款余额在100万元（含本数）以下的贷款。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五、本公告执行至2027年12月31日。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特此公告。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right"/>
            </w:pPr>
            <w:r>
              <w:t>财政部 税务总局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right"/>
            </w:pPr>
            <w:r>
              <w:t>2023年8月2日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5035"/>
    <w:rsid w:val="1CC277A5"/>
    <w:rsid w:val="23F34041"/>
    <w:rsid w:val="6643452D"/>
    <w:rsid w:val="680E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2023-08-03T00:34:00Z</dcterms:created>
  <dc:creator>Administrator</dc:creator>
  <cp:lastModifiedBy>魏亚磊</cp:lastModifiedBy>
  <dcterms:modified xsi:type="dcterms:W3CDTF">2023-08-04T07:38:28Z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